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ascii="仿宋" w:hAnsi="仿宋" w:eastAsia="仿宋" w:cs="黑体"/>
          <w:b/>
          <w:bCs/>
          <w:sz w:val="28"/>
          <w:szCs w:val="28"/>
        </w:rPr>
      </w:pPr>
      <w:r>
        <w:rPr>
          <w:rFonts w:hint="eastAsia" w:ascii="仿宋" w:hAnsi="仿宋" w:eastAsia="仿宋" w:cs="黑体"/>
          <w:b/>
          <w:bCs/>
          <w:sz w:val="28"/>
          <w:szCs w:val="28"/>
          <w:lang w:val="en-US" w:eastAsia="zh-CN"/>
        </w:rPr>
        <w:t>匡时书院孙冶方</w:t>
      </w:r>
      <w:r>
        <w:rPr>
          <w:rFonts w:hint="eastAsia" w:ascii="仿宋" w:hAnsi="仿宋" w:eastAsia="仿宋" w:cs="黑体"/>
          <w:b/>
          <w:bCs/>
          <w:sz w:val="28"/>
          <w:szCs w:val="28"/>
        </w:rPr>
        <w:t>班培养方案</w:t>
      </w:r>
    </w:p>
    <w:p>
      <w:pPr>
        <w:spacing w:line="360" w:lineRule="auto"/>
        <w:ind w:firstLine="562" w:firstLineChars="200"/>
        <w:rPr>
          <w:rFonts w:ascii="仿宋" w:hAnsi="仿宋" w:eastAsia="仿宋" w:cs="黑体"/>
          <w:b/>
          <w:sz w:val="28"/>
          <w:szCs w:val="28"/>
        </w:rPr>
      </w:pPr>
      <w:r>
        <w:rPr>
          <w:rFonts w:hint="eastAsia" w:ascii="仿宋" w:hAnsi="仿宋" w:eastAsia="仿宋" w:cs="黑体"/>
          <w:b/>
          <w:sz w:val="28"/>
          <w:szCs w:val="28"/>
        </w:rPr>
        <w:t>一、培养目标</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cs="Times New Roman"/>
          <w:kern w:val="0"/>
          <w:sz w:val="28"/>
          <w:szCs w:val="28"/>
        </w:rPr>
      </w:pPr>
      <w:r>
        <w:rPr>
          <w:rFonts w:hint="eastAsia" w:ascii="仿宋" w:hAnsi="仿宋" w:eastAsia="仿宋"/>
          <w:kern w:val="0"/>
          <w:sz w:val="28"/>
          <w:szCs w:val="28"/>
        </w:rPr>
        <w:t>本专业培养坚持以马列主义、毛泽东思想、邓小平理论、“三个代表”重要思想、科学发展观和习近平新时代中国特色社会主义思想为指导，贯彻党和国家的教育方针，热爱祖国，具有崇高的理想信念；</w:t>
      </w:r>
      <w:r>
        <w:rPr>
          <w:rFonts w:hint="eastAsia" w:ascii="仿宋" w:hAnsi="仿宋" w:eastAsia="仿宋" w:cs="Times New Roman"/>
          <w:kern w:val="0"/>
          <w:sz w:val="28"/>
          <w:szCs w:val="28"/>
        </w:rPr>
        <w:t>培养掌握比较扎实的马克思主义经济学理论基础，熟练掌握现代经济学理论和分析方法，具有深厚的专业知识和专业技能；熟悉人文、数理学科，知识面较宽，</w:t>
      </w:r>
      <w:r>
        <w:rPr>
          <w:rFonts w:hint="eastAsia" w:ascii="仿宋" w:hAnsi="仿宋" w:eastAsia="仿宋"/>
          <w:kern w:val="0"/>
          <w:sz w:val="28"/>
          <w:szCs w:val="28"/>
        </w:rPr>
        <w:t>文化素养高</w:t>
      </w:r>
      <w:r>
        <w:rPr>
          <w:rFonts w:hint="eastAsia" w:ascii="仿宋" w:hAnsi="仿宋" w:eastAsia="仿宋" w:cs="Times New Roman"/>
          <w:kern w:val="0"/>
          <w:sz w:val="28"/>
          <w:szCs w:val="28"/>
        </w:rPr>
        <w:t>；</w:t>
      </w:r>
      <w:r>
        <w:rPr>
          <w:rFonts w:hint="eastAsia" w:ascii="仿宋" w:hAnsi="仿宋" w:eastAsia="仿宋"/>
          <w:sz w:val="28"/>
          <w:szCs w:val="28"/>
        </w:rPr>
        <w:t>学术思想活跃、国际视野开阔、发展潜力巨大并有志于从事经济学科研和教学高层次创新人才</w:t>
      </w:r>
      <w:r>
        <w:rPr>
          <w:rFonts w:hint="eastAsia" w:ascii="仿宋" w:hAnsi="仿宋" w:eastAsia="仿宋" w:cs="Times New Roman"/>
          <w:kern w:val="0"/>
          <w:sz w:val="28"/>
          <w:szCs w:val="28"/>
        </w:rPr>
        <w:t>；</w:t>
      </w:r>
      <w:r>
        <w:rPr>
          <w:rFonts w:hint="eastAsia" w:ascii="仿宋" w:hAnsi="仿宋" w:eastAsia="仿宋"/>
          <w:kern w:val="0"/>
          <w:sz w:val="28"/>
          <w:szCs w:val="28"/>
        </w:rPr>
        <w:t>所培养的学生具有良好的职业道德素养和法治意识；</w:t>
      </w:r>
      <w:r>
        <w:rPr>
          <w:rFonts w:hint="eastAsia" w:ascii="仿宋" w:hAnsi="仿宋" w:eastAsia="仿宋" w:cs="Times New Roman"/>
          <w:kern w:val="0"/>
          <w:sz w:val="28"/>
          <w:szCs w:val="28"/>
        </w:rPr>
        <w:t>学生毕业后，主要以进入国内外一流经济学专业深造为主。</w:t>
      </w:r>
    </w:p>
    <w:p>
      <w:pPr>
        <w:snapToGrid w:val="0"/>
        <w:spacing w:line="360" w:lineRule="auto"/>
        <w:ind w:firstLine="560" w:firstLineChars="200"/>
        <w:rPr>
          <w:rFonts w:ascii="仿宋" w:hAnsi="仿宋" w:eastAsia="仿宋" w:cs="Times New Roman"/>
          <w:kern w:val="0"/>
          <w:sz w:val="28"/>
          <w:szCs w:val="28"/>
        </w:rPr>
      </w:pPr>
      <w:r>
        <w:rPr>
          <w:rFonts w:hint="eastAsia" w:ascii="仿宋" w:hAnsi="仿宋" w:eastAsia="仿宋" w:cs="宋体"/>
          <w:sz w:val="28"/>
          <w:szCs w:val="28"/>
        </w:rPr>
        <w:t>（1）坚持四项基本原则，热爱祖国，具有崇高的理想信念。</w:t>
      </w:r>
    </w:p>
    <w:p>
      <w:pPr>
        <w:snapToGrid w:val="0"/>
        <w:spacing w:line="360" w:lineRule="auto"/>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（2）培养过程以马克思主义经济学原理和方法为指导，以习近平新时代中国特色社会主义经济思想和中国发展实践为引领，融合现代经济学理论前沿成果养成学生经济学思维方式。</w:t>
      </w:r>
    </w:p>
    <w:p>
      <w:pPr>
        <w:snapToGrid w:val="0"/>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（3）全面加强以数学、经济史学以及相关通识课程的学习，培养学生具有深厚的科学和人文素养，夯实学生的发展基础。</w:t>
      </w:r>
    </w:p>
    <w:p>
      <w:pPr>
        <w:snapToGrid w:val="0"/>
        <w:spacing w:line="360" w:lineRule="auto"/>
        <w:ind w:firstLine="560" w:firstLineChars="200"/>
        <w:rPr>
          <w:rFonts w:ascii="仿宋" w:hAnsi="仿宋" w:eastAsia="仿宋" w:cs="Times New Roman"/>
          <w:kern w:val="0"/>
          <w:sz w:val="28"/>
          <w:szCs w:val="28"/>
        </w:rPr>
      </w:pPr>
      <w:r>
        <w:rPr>
          <w:rFonts w:hint="eastAsia" w:ascii="仿宋" w:hAnsi="仿宋" w:eastAsia="仿宋" w:cstheme="minorEastAsia"/>
          <w:sz w:val="28"/>
          <w:szCs w:val="28"/>
        </w:rPr>
        <w:t>（4）突出现代经济学的学</w:t>
      </w:r>
      <w:r>
        <w:rPr>
          <w:rFonts w:hint="eastAsia" w:ascii="仿宋" w:hAnsi="仿宋" w:eastAsia="仿宋" w:cs="Times New Roman"/>
          <w:kern w:val="0"/>
          <w:sz w:val="28"/>
          <w:szCs w:val="28"/>
        </w:rPr>
        <w:t>习和训练，基本掌握分析经济问题和经济现象的理论、方法和工具。</w:t>
      </w:r>
    </w:p>
    <w:p>
      <w:pPr>
        <w:snapToGrid w:val="0"/>
        <w:spacing w:line="360" w:lineRule="auto"/>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5）发挥经济学院在理论经济学的优势，以及上海财经大学在中国特色社会主义市场经济重大现实问题研究和调查的优势，通过本博连读体制，培养一大批扎根中国、放眼世界、具有深厚经济学造诣、参与构建中国经济学自主知识体系并为经济学发展贡献中国智慧的一流经济学人才。</w:t>
      </w:r>
    </w:p>
    <w:p>
      <w:pPr>
        <w:spacing w:line="360" w:lineRule="auto"/>
        <w:ind w:firstLine="562" w:firstLineChars="200"/>
        <w:rPr>
          <w:rFonts w:ascii="仿宋" w:hAnsi="仿宋" w:eastAsia="仿宋" w:cs="黑体"/>
          <w:b/>
          <w:sz w:val="28"/>
          <w:szCs w:val="28"/>
        </w:rPr>
      </w:pPr>
      <w:r>
        <w:rPr>
          <w:rFonts w:hint="eastAsia" w:ascii="仿宋" w:hAnsi="仿宋" w:eastAsia="仿宋" w:cs="黑体"/>
          <w:b/>
          <w:sz w:val="28"/>
          <w:szCs w:val="28"/>
        </w:rPr>
        <w:t>二、毕业要求及授予学位</w:t>
      </w:r>
    </w:p>
    <w:p>
      <w:pPr>
        <w:snapToGrid w:val="0"/>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本专业总学分为155.5学分，学制四年，按照国家和学校相关规定，学生修满培养方案要求学分，完成培养方案要求的教学环节，德、智、体、美、劳达到毕业要求，准予毕业，可以授予经济学学位。</w:t>
      </w:r>
    </w:p>
    <w:p>
      <w:pPr>
        <w:spacing w:line="360" w:lineRule="auto"/>
        <w:ind w:firstLine="562" w:firstLineChars="200"/>
        <w:rPr>
          <w:rFonts w:ascii="仿宋" w:hAnsi="仿宋" w:eastAsia="仿宋" w:cs="黑体"/>
          <w:b/>
          <w:sz w:val="28"/>
          <w:szCs w:val="28"/>
        </w:rPr>
      </w:pPr>
      <w:r>
        <w:rPr>
          <w:rFonts w:hint="eastAsia" w:ascii="仿宋" w:hAnsi="仿宋" w:eastAsia="仿宋" w:cs="黑体"/>
          <w:b/>
          <w:sz w:val="28"/>
          <w:szCs w:val="28"/>
        </w:rPr>
        <w:t>三、课程设置</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拔尖班培养方案的学分结构表如下表1所示。</w:t>
      </w:r>
    </w:p>
    <w:p>
      <w:pPr>
        <w:spacing w:line="360" w:lineRule="exact"/>
        <w:jc w:val="center"/>
        <w:rPr>
          <w:rFonts w:ascii="仿宋" w:hAnsi="仿宋" w:eastAsia="仿宋"/>
          <w:b/>
          <w:sz w:val="28"/>
          <w:szCs w:val="28"/>
        </w:rPr>
      </w:pPr>
      <w:r>
        <w:rPr>
          <w:rFonts w:hint="eastAsia" w:ascii="仿宋" w:hAnsi="仿宋" w:eastAsia="仿宋"/>
          <w:b/>
          <w:sz w:val="28"/>
          <w:szCs w:val="28"/>
        </w:rPr>
        <w:t>表1  学分分配表</w:t>
      </w:r>
    </w:p>
    <w:tbl>
      <w:tblPr>
        <w:tblStyle w:val="11"/>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135"/>
        <w:gridCol w:w="1152"/>
        <w:gridCol w:w="1103"/>
        <w:gridCol w:w="1335"/>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2" w:firstLineChars="200"/>
              <w:jc w:val="center"/>
              <w:rPr>
                <w:rFonts w:ascii="仿宋" w:hAnsi="仿宋" w:eastAsia="仿宋"/>
                <w:b/>
                <w:bCs/>
                <w:sz w:val="28"/>
                <w:szCs w:val="28"/>
              </w:rPr>
            </w:pPr>
            <w:r>
              <w:rPr>
                <w:rFonts w:hint="eastAsia" w:ascii="仿宋" w:hAnsi="仿宋" w:eastAsia="仿宋"/>
                <w:b/>
                <w:bCs/>
                <w:sz w:val="28"/>
                <w:szCs w:val="28"/>
              </w:rPr>
              <w:t>课程类别</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2" w:firstLineChars="200"/>
              <w:jc w:val="center"/>
              <w:rPr>
                <w:rFonts w:ascii="仿宋" w:hAnsi="仿宋" w:eastAsia="仿宋"/>
                <w:b/>
                <w:bCs/>
                <w:sz w:val="28"/>
                <w:szCs w:val="28"/>
              </w:rPr>
            </w:pPr>
            <w:r>
              <w:rPr>
                <w:rFonts w:hint="eastAsia" w:ascii="仿宋" w:hAnsi="仿宋" w:eastAsia="仿宋"/>
                <w:b/>
                <w:bCs/>
                <w:sz w:val="28"/>
                <w:szCs w:val="28"/>
              </w:rPr>
              <w:t>学分</w:t>
            </w:r>
          </w:p>
        </w:tc>
        <w:tc>
          <w:tcPr>
            <w:tcW w:w="26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2" w:firstLineChars="200"/>
              <w:jc w:val="center"/>
              <w:rPr>
                <w:rFonts w:ascii="仿宋" w:hAnsi="仿宋" w:eastAsia="仿宋"/>
                <w:b/>
                <w:bCs/>
                <w:sz w:val="28"/>
                <w:szCs w:val="28"/>
              </w:rPr>
            </w:pPr>
            <w:r>
              <w:rPr>
                <w:rFonts w:hint="eastAsia" w:ascii="仿宋" w:hAnsi="仿宋" w:eastAsia="仿宋"/>
                <w:b/>
                <w:bCs/>
                <w:sz w:val="28"/>
                <w:szCs w:val="28"/>
              </w:rPr>
              <w:t>占总学分百分比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必修课</w:t>
            </w: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通识教育课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55</w:t>
            </w:r>
          </w:p>
        </w:tc>
        <w:tc>
          <w:tcPr>
            <w:tcW w:w="11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right"/>
              <w:rPr>
                <w:rFonts w:ascii="仿宋" w:hAnsi="仿宋" w:eastAsia="仿宋"/>
                <w:sz w:val="28"/>
                <w:szCs w:val="28"/>
              </w:rPr>
            </w:pPr>
            <w:r>
              <w:rPr>
                <w:rFonts w:hint="eastAsia" w:ascii="仿宋" w:hAnsi="仿宋" w:eastAsia="仿宋"/>
                <w:sz w:val="28"/>
                <w:szCs w:val="28"/>
              </w:rPr>
              <w:t>小计10</w:t>
            </w:r>
            <w:r>
              <w:rPr>
                <w:rFonts w:ascii="仿宋" w:hAnsi="仿宋" w:eastAsia="仿宋"/>
                <w:sz w:val="28"/>
                <w:szCs w:val="28"/>
              </w:rPr>
              <w:t>4</w:t>
            </w:r>
            <w:r>
              <w:rPr>
                <w:rFonts w:hint="eastAsia" w:ascii="仿宋" w:hAnsi="仿宋" w:eastAsia="仿宋"/>
                <w:sz w:val="28"/>
                <w:szCs w:val="28"/>
              </w:rPr>
              <w:t xml:space="preserve">.5  </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ascii="仿宋" w:hAnsi="仿宋" w:eastAsia="仿宋"/>
                <w:sz w:val="28"/>
                <w:szCs w:val="28"/>
              </w:rPr>
              <w:t>36.06</w:t>
            </w:r>
            <w:r>
              <w:rPr>
                <w:rFonts w:hint="eastAsia" w:ascii="仿宋" w:hAnsi="仿宋" w:eastAsia="仿宋"/>
                <w:sz w:val="28"/>
                <w:szCs w:val="28"/>
              </w:rPr>
              <w:t>%</w:t>
            </w:r>
          </w:p>
        </w:tc>
        <w:tc>
          <w:tcPr>
            <w:tcW w:w="13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8"/>
                <w:szCs w:val="28"/>
              </w:rPr>
            </w:pPr>
            <w:r>
              <w:rPr>
                <w:rFonts w:hint="eastAsia" w:ascii="仿宋" w:hAnsi="仿宋" w:eastAsia="仿宋"/>
                <w:sz w:val="28"/>
                <w:szCs w:val="28"/>
              </w:rPr>
              <w:t>小计6</w:t>
            </w:r>
            <w:r>
              <w:rPr>
                <w:rFonts w:ascii="仿宋" w:hAnsi="仿宋" w:eastAsia="仿宋"/>
                <w:sz w:val="28"/>
                <w:szCs w:val="28"/>
              </w:rPr>
              <w:t>8</w:t>
            </w:r>
            <w:r>
              <w:rPr>
                <w:rFonts w:hint="eastAsia" w:ascii="仿宋" w:hAnsi="仿宋" w:eastAsia="仿宋"/>
                <w:sz w:val="28"/>
                <w:szCs w:val="28"/>
              </w:rPr>
              <w:t>.</w:t>
            </w:r>
            <w:r>
              <w:rPr>
                <w:rFonts w:ascii="仿宋" w:hAnsi="仿宋" w:eastAsia="仿宋"/>
                <w:sz w:val="28"/>
                <w:szCs w:val="28"/>
              </w:rPr>
              <w:t>52</w:t>
            </w: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学科共同课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ascii="仿宋" w:hAnsi="仿宋" w:eastAsia="仿宋"/>
                <w:sz w:val="28"/>
                <w:szCs w:val="28"/>
              </w:rPr>
              <w:t>15</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ascii="仿宋" w:hAnsi="仿宋" w:eastAsia="仿宋"/>
                <w:sz w:val="28"/>
                <w:szCs w:val="28"/>
              </w:rPr>
              <w:t>9.83</w:t>
            </w:r>
            <w:r>
              <w:rPr>
                <w:rFonts w:hint="eastAsia" w:ascii="仿宋" w:hAnsi="仿宋" w:eastAsia="仿宋"/>
                <w:sz w:val="28"/>
                <w:szCs w:val="28"/>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专业课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22</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14.</w:t>
            </w:r>
            <w:r>
              <w:rPr>
                <w:rFonts w:ascii="仿宋" w:hAnsi="仿宋" w:eastAsia="仿宋"/>
                <w:sz w:val="28"/>
                <w:szCs w:val="28"/>
              </w:rPr>
              <w:t>42</w:t>
            </w:r>
            <w:r>
              <w:rPr>
                <w:rFonts w:hint="eastAsia" w:ascii="仿宋" w:hAnsi="仿宋" w:eastAsia="仿宋"/>
                <w:sz w:val="28"/>
                <w:szCs w:val="28"/>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个性化培养课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12.5</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19</w:t>
            </w:r>
            <w:r>
              <w:rPr>
                <w:rFonts w:hint="eastAsia" w:ascii="仿宋" w:hAnsi="仿宋" w:eastAsia="仿宋"/>
                <w:sz w:val="28"/>
                <w:szCs w:val="28"/>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选修课</w:t>
            </w: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通识教育课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11</w:t>
            </w:r>
          </w:p>
        </w:tc>
        <w:tc>
          <w:tcPr>
            <w:tcW w:w="11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left="679" w:leftChars="190" w:hanging="280" w:hangingChars="100"/>
              <w:rPr>
                <w:rFonts w:ascii="仿宋" w:hAnsi="仿宋" w:eastAsia="仿宋"/>
                <w:sz w:val="28"/>
                <w:szCs w:val="28"/>
              </w:rPr>
            </w:pPr>
            <w:r>
              <w:rPr>
                <w:rFonts w:hint="eastAsia" w:ascii="仿宋" w:hAnsi="仿宋" w:eastAsia="仿宋"/>
                <w:sz w:val="28"/>
                <w:szCs w:val="28"/>
              </w:rPr>
              <w:t>小计    25</w:t>
            </w:r>
          </w:p>
          <w:p>
            <w:pPr>
              <w:spacing w:line="360" w:lineRule="exact"/>
              <w:ind w:firstLine="560" w:firstLineChars="200"/>
              <w:jc w:val="center"/>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21</w:t>
            </w:r>
            <w:r>
              <w:rPr>
                <w:rFonts w:hint="eastAsia" w:ascii="仿宋" w:hAnsi="仿宋" w:eastAsia="仿宋"/>
                <w:sz w:val="28"/>
                <w:szCs w:val="28"/>
              </w:rPr>
              <w:t>%</w:t>
            </w:r>
          </w:p>
        </w:tc>
        <w:tc>
          <w:tcPr>
            <w:tcW w:w="13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8"/>
                <w:szCs w:val="28"/>
              </w:rPr>
            </w:pPr>
            <w:r>
              <w:rPr>
                <w:rFonts w:hint="eastAsia" w:ascii="仿宋" w:hAnsi="仿宋" w:eastAsia="仿宋"/>
                <w:sz w:val="28"/>
                <w:szCs w:val="28"/>
              </w:rPr>
              <w:t>小计</w:t>
            </w:r>
          </w:p>
          <w:p>
            <w:pPr>
              <w:spacing w:line="360" w:lineRule="exact"/>
              <w:jc w:val="center"/>
              <w:rPr>
                <w:rFonts w:ascii="仿宋" w:hAnsi="仿宋" w:eastAsia="仿宋"/>
                <w:sz w:val="28"/>
                <w:szCs w:val="28"/>
              </w:rPr>
            </w:pPr>
            <w:r>
              <w:rPr>
                <w:rFonts w:hint="eastAsia" w:ascii="仿宋" w:hAnsi="仿宋" w:eastAsia="仿宋"/>
                <w:sz w:val="28"/>
                <w:szCs w:val="28"/>
              </w:rPr>
              <w:t>16.</w:t>
            </w:r>
            <w:r>
              <w:rPr>
                <w:rFonts w:ascii="仿宋" w:hAnsi="仿宋" w:eastAsia="仿宋"/>
                <w:sz w:val="28"/>
                <w:szCs w:val="28"/>
              </w:rPr>
              <w:t>39</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学科共同课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10</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56</w:t>
            </w:r>
            <w:r>
              <w:rPr>
                <w:rFonts w:hint="eastAsia" w:ascii="仿宋" w:hAnsi="仿宋" w:eastAsia="仿宋"/>
                <w:sz w:val="28"/>
                <w:szCs w:val="28"/>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560" w:firstLineChars="200"/>
              <w:rPr>
                <w:rFonts w:ascii="仿宋" w:hAnsi="仿宋" w:eastAsia="仿宋"/>
                <w:sz w:val="28"/>
                <w:szCs w:val="28"/>
              </w:rPr>
            </w:pPr>
            <w:r>
              <w:rPr>
                <w:rFonts w:hint="eastAsia" w:ascii="仿宋" w:hAnsi="仿宋" w:eastAsia="仿宋"/>
                <w:sz w:val="28"/>
                <w:szCs w:val="28"/>
              </w:rPr>
              <w:t>专业课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4</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62</w:t>
            </w:r>
            <w:r>
              <w:rPr>
                <w:rFonts w:hint="eastAsia" w:ascii="仿宋" w:hAnsi="仿宋" w:eastAsia="仿宋"/>
                <w:sz w:val="28"/>
                <w:szCs w:val="28"/>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60" w:firstLineChars="200"/>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第二课堂、毕业实习与毕业论文</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23</w:t>
            </w:r>
          </w:p>
        </w:tc>
        <w:tc>
          <w:tcPr>
            <w:tcW w:w="110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23</w:t>
            </w:r>
          </w:p>
        </w:tc>
        <w:tc>
          <w:tcPr>
            <w:tcW w:w="26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ascii="仿宋" w:hAnsi="仿宋" w:eastAsia="仿宋"/>
                <w:sz w:val="28"/>
                <w:szCs w:val="28"/>
              </w:rPr>
              <w:t>15.08</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毕业要求总合计</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15</w:t>
            </w:r>
            <w:r>
              <w:rPr>
                <w:rFonts w:ascii="仿宋" w:hAnsi="仿宋" w:eastAsia="仿宋"/>
                <w:sz w:val="28"/>
                <w:szCs w:val="28"/>
              </w:rPr>
              <w:t>2</w:t>
            </w:r>
            <w:r>
              <w:rPr>
                <w:rFonts w:hint="eastAsia" w:ascii="仿宋" w:hAnsi="仿宋" w:eastAsia="仿宋"/>
                <w:sz w:val="28"/>
                <w:szCs w:val="28"/>
              </w:rPr>
              <w:t>.5</w:t>
            </w:r>
          </w:p>
        </w:tc>
        <w:tc>
          <w:tcPr>
            <w:tcW w:w="26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0" w:firstLineChars="200"/>
              <w:jc w:val="center"/>
              <w:rPr>
                <w:rFonts w:ascii="仿宋" w:hAnsi="仿宋" w:eastAsia="仿宋"/>
                <w:sz w:val="28"/>
                <w:szCs w:val="28"/>
              </w:rPr>
            </w:pPr>
            <w:r>
              <w:rPr>
                <w:rFonts w:hint="eastAsia" w:ascii="仿宋" w:hAnsi="仿宋" w:eastAsia="仿宋"/>
                <w:sz w:val="28"/>
                <w:szCs w:val="28"/>
              </w:rPr>
              <w:t>100%</w:t>
            </w:r>
          </w:p>
        </w:tc>
      </w:tr>
    </w:tbl>
    <w:p>
      <w:pPr>
        <w:spacing w:line="360" w:lineRule="auto"/>
        <w:ind w:firstLine="562" w:firstLineChars="200"/>
        <w:rPr>
          <w:rFonts w:ascii="仿宋" w:hAnsi="仿宋" w:eastAsia="仿宋"/>
          <w:b/>
          <w:sz w:val="28"/>
          <w:szCs w:val="28"/>
        </w:rPr>
      </w:pP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（一）通识教育课程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在通识教育课中，思想政治理论课16学分（必修），基础技能通识课程（包括大学外语、数学和计算机课程，必修）35学分。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通识限定选修课程，包括经典阅读与历史文化传承、哲学思辨与伦理规范等7个模块，8个学分。</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（二）专业教育课程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专业教育课程主要包括如下几类课程：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1、学科共同课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必修课包括《经济法概论（必修）》、《财务会计（新商科）》、《国际经济学》、《财政学》等合计18学分，也包括《运筹学》等选修课1</w:t>
      </w:r>
      <w:r>
        <w:rPr>
          <w:rFonts w:ascii="仿宋" w:hAnsi="仿宋" w:eastAsia="仿宋"/>
          <w:sz w:val="28"/>
          <w:szCs w:val="28"/>
        </w:rPr>
        <w:t>0</w:t>
      </w:r>
      <w:r>
        <w:rPr>
          <w:rFonts w:hint="eastAsia" w:ascii="仿宋" w:hAnsi="仿宋" w:eastAsia="仿宋"/>
          <w:sz w:val="28"/>
          <w:szCs w:val="28"/>
        </w:rPr>
        <w:t>个学分。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2、政治经济学与经济史学课程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开设必修课程包括《政治经济学（Ⅰ、Ⅱ）》。选修课包括《&lt;资本论&gt;选读》、《经济史》、《经济思想史》等。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3、专业课程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《中级微观经济学》、《中级宏观经济学》、《概率论与数理统计》、《博弈论与信息经济学》、《计量经济学》等。</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（三）特色课程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特色课程要突出数理基础，为学生进一步学习和研究经济学奠定良好数理基础；突出对中国经济问题和现象的了解，对经济学基本原理和思想的探究，以及对方法训练课程的掌握。特色课程包括如下三类课程：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一，经济学特色课程和高阶课程，主要是《经济学原理、思想与方法》、《经济学学科前沿专题》等；选修课包括《高级微观经济学》、《&lt;资本论&gt;选读》、《行为经济学》、《应用时间序列分析》、《中国经济分析》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第二，方法训练课程，包括《大数据和经济学中的因果识别方法》、《机器学习》、《</w:t>
      </w:r>
      <w:r>
        <w:rPr>
          <w:rFonts w:ascii="仿宋" w:hAnsi="仿宋" w:eastAsia="仿宋"/>
          <w:sz w:val="28"/>
          <w:szCs w:val="28"/>
        </w:rPr>
        <w:t>经济数据分析软件</w:t>
      </w:r>
      <w:r>
        <w:rPr>
          <w:rFonts w:hint="eastAsia" w:ascii="仿宋" w:hAnsi="仿宋" w:eastAsia="仿宋"/>
          <w:sz w:val="28"/>
          <w:szCs w:val="28"/>
        </w:rPr>
        <w:t>》、《应用计量学》、《</w:t>
      </w:r>
      <w:r>
        <w:rPr>
          <w:rFonts w:ascii="仿宋" w:hAnsi="仿宋" w:eastAsia="仿宋"/>
          <w:sz w:val="28"/>
          <w:szCs w:val="28"/>
        </w:rPr>
        <w:t>经济学文献阅读与论文写作</w:t>
      </w:r>
      <w:r>
        <w:rPr>
          <w:rFonts w:hint="eastAsia" w:ascii="仿宋" w:hAnsi="仿宋" w:eastAsia="仿宋"/>
          <w:sz w:val="28"/>
          <w:szCs w:val="28"/>
        </w:rPr>
        <w:t>》等。</w:t>
      </w:r>
    </w:p>
    <w:p>
      <w:pPr>
        <w:spacing w:line="360" w:lineRule="auto"/>
        <w:ind w:firstLine="560" w:firstLineChars="200"/>
        <w:rPr>
          <w:rFonts w:ascii="仿宋" w:hAnsi="仿宋" w:eastAsia="仿宋" w:cs="Times New Roman"/>
          <w:sz w:val="28"/>
          <w:szCs w:val="28"/>
        </w:rPr>
      </w:pPr>
      <w:r>
        <w:rPr>
          <w:rFonts w:hint="eastAsia" w:ascii="仿宋" w:hAnsi="仿宋" w:eastAsia="仿宋"/>
          <w:sz w:val="28"/>
          <w:szCs w:val="28"/>
        </w:rPr>
        <w:t>第三，数学类高阶课程，包括《实变函数》、《随机过程》、《常微分方程》等课程。</w:t>
      </w:r>
    </w:p>
    <w:p>
      <w:pPr>
        <w:spacing w:line="200" w:lineRule="exact"/>
        <w:rPr>
          <w:rFonts w:ascii="仿宋" w:hAnsi="仿宋" w:eastAsia="仿宋"/>
          <w:b/>
          <w:bCs/>
          <w:sz w:val="28"/>
          <w:szCs w:val="28"/>
        </w:rPr>
      </w:pPr>
    </w:p>
    <w:p>
      <w:pPr>
        <w:widowControl/>
        <w:jc w:val="left"/>
        <w:rPr>
          <w:rFonts w:ascii="仿宋" w:hAnsi="仿宋" w:eastAsia="仿宋"/>
          <w:b/>
          <w:bCs/>
          <w:sz w:val="28"/>
          <w:szCs w:val="28"/>
        </w:rPr>
      </w:pPr>
      <w:r>
        <w:rPr>
          <w:rFonts w:ascii="仿宋" w:hAnsi="仿宋" w:eastAsia="仿宋"/>
          <w:b/>
          <w:bCs/>
          <w:sz w:val="28"/>
          <w:szCs w:val="28"/>
        </w:rPr>
        <w:br w:type="page"/>
      </w:r>
      <w:bookmarkStart w:id="0" w:name="_GoBack"/>
      <w:bookmarkEnd w:id="0"/>
    </w:p>
    <w:p>
      <w:pPr>
        <w:pStyle w:val="9"/>
        <w:widowControl/>
        <w:spacing w:beforeAutospacing="0" w:afterAutospacing="0"/>
        <w:ind w:left="50" w:right="50"/>
        <w:jc w:val="center"/>
        <w:rPr>
          <w:rFonts w:ascii="仿宋" w:hAnsi="仿宋" w:eastAsia="仿宋" w:cs="Verdana"/>
          <w:b/>
          <w:bCs/>
          <w:color w:val="auto"/>
          <w:sz w:val="26"/>
          <w:szCs w:val="26"/>
        </w:rPr>
      </w:pPr>
      <w:r>
        <w:rPr>
          <w:rFonts w:hint="eastAsia" w:ascii="仿宋" w:hAnsi="仿宋" w:eastAsia="仿宋" w:cs="Verdana"/>
          <w:b/>
          <w:bCs/>
          <w:color w:val="auto"/>
          <w:sz w:val="26"/>
          <w:szCs w:val="26"/>
          <w:lang w:val="en-US" w:eastAsia="zh-CN"/>
        </w:rPr>
        <w:t>匡时书院孙冶方班</w:t>
      </w:r>
      <w:r>
        <w:rPr>
          <w:rFonts w:ascii="仿宋" w:hAnsi="仿宋" w:eastAsia="仿宋" w:cs="Verdana"/>
          <w:b/>
          <w:bCs/>
          <w:color w:val="auto"/>
          <w:sz w:val="26"/>
          <w:szCs w:val="26"/>
        </w:rPr>
        <w:t>培养计划</w:t>
      </w:r>
    </w:p>
    <w:tbl>
      <w:tblPr>
        <w:tblStyle w:val="11"/>
        <w:tblW w:w="5000" w:type="pct"/>
        <w:jc w:val="center"/>
        <w:tblCellSpacing w:w="15"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jc w:val="center"/>
        </w:trPr>
        <w:tc>
          <w:tcPr>
            <w:tcW w:w="0" w:type="auto"/>
            <w:shd w:val="clear" w:color="auto" w:fill="auto"/>
            <w:vAlign w:val="center"/>
          </w:tcPr>
          <w:tbl>
            <w:tblPr>
              <w:tblStyle w:val="11"/>
              <w:tblW w:w="0" w:type="auto"/>
              <w:jc w:val="center"/>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Layout w:type="autofit"/>
              <w:tblCellMar>
                <w:top w:w="15" w:type="dxa"/>
                <w:left w:w="15" w:type="dxa"/>
                <w:bottom w:w="15" w:type="dxa"/>
                <w:right w:w="15" w:type="dxa"/>
              </w:tblCellMar>
            </w:tblPr>
            <w:tblGrid>
              <w:gridCol w:w="660"/>
              <w:gridCol w:w="504"/>
              <w:gridCol w:w="426"/>
              <w:gridCol w:w="628"/>
              <w:gridCol w:w="1814"/>
              <w:gridCol w:w="464"/>
              <w:gridCol w:w="192"/>
              <w:gridCol w:w="373"/>
              <w:gridCol w:w="373"/>
              <w:gridCol w:w="373"/>
              <w:gridCol w:w="192"/>
              <w:gridCol w:w="192"/>
              <w:gridCol w:w="101"/>
              <w:gridCol w:w="101"/>
              <w:gridCol w:w="814"/>
              <w:gridCol w:w="1089"/>
            </w:tblGrid>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tblHeader/>
                <w:jc w:val="center"/>
              </w:trPr>
              <w:tc>
                <w:tcPr>
                  <w:tcW w:w="0" w:type="auto"/>
                  <w:gridSpan w:val="3"/>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分类</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课程代码</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课程名称</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学分</w:t>
                  </w:r>
                </w:p>
              </w:tc>
              <w:tc>
                <w:tcPr>
                  <w:tcW w:w="0" w:type="auto"/>
                  <w:gridSpan w:val="8"/>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按学期周课时分配</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开课院系</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widowControl/>
                    <w:jc w:val="center"/>
                    <w:textAlignment w:val="center"/>
                    <w:rPr>
                      <w:rFonts w:ascii="仿宋" w:hAnsi="仿宋" w:eastAsia="仿宋" w:cstheme="minorEastAsia"/>
                      <w:color w:val="000000"/>
                      <w:sz w:val="18"/>
                      <w:szCs w:val="18"/>
                    </w:rPr>
                  </w:pPr>
                  <w:r>
                    <w:rPr>
                      <w:rFonts w:hint="eastAsia" w:ascii="仿宋" w:hAnsi="仿宋" w:eastAsia="仿宋" w:cstheme="minorEastAsia"/>
                      <w:color w:val="000000"/>
                      <w:kern w:val="0"/>
                      <w:sz w:val="18"/>
                      <w:szCs w:val="18"/>
                      <w:lang w:bidi="ar"/>
                    </w:rPr>
                    <w:t>备注</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tblHeade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ascii="仿宋" w:hAnsi="仿宋" w:eastAsia="仿宋" w:cstheme="minorEastAsia"/>
                      <w:color w:val="00000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ascii="仿宋" w:hAnsi="仿宋" w:eastAsia="仿宋" w:cstheme="minorEastAsia"/>
                      <w:color w:val="00000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ascii="仿宋" w:hAnsi="仿宋" w:eastAsia="仿宋" w:cstheme="minorEastAsia"/>
                      <w:color w:val="00000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ascii="仿宋" w:hAnsi="仿宋" w:eastAsia="仿宋" w:cstheme="minorEastAsia"/>
                      <w:color w:val="00000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1</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2</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3</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4</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5</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6</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7</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widowControl/>
                    <w:jc w:val="center"/>
                    <w:rPr>
                      <w:rFonts w:ascii="仿宋" w:hAnsi="仿宋" w:eastAsia="仿宋" w:cstheme="minorEastAsia"/>
                      <w:sz w:val="18"/>
                      <w:szCs w:val="18"/>
                    </w:rPr>
                  </w:pPr>
                  <w:r>
                    <w:rPr>
                      <w:rFonts w:hint="eastAsia" w:ascii="仿宋" w:hAnsi="仿宋" w:eastAsia="仿宋" w:cstheme="minorEastAsia"/>
                      <w:color w:val="000000"/>
                      <w:sz w:val="18"/>
                      <w:szCs w:val="18"/>
                    </w:rPr>
                    <w:t>8</w:t>
                  </w: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ascii="仿宋" w:hAnsi="仿宋" w:eastAsia="仿宋" w:cstheme="minorEastAsia"/>
                      <w:color w:val="00000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ascii="仿宋" w:hAnsi="仿宋" w:eastAsia="仿宋" w:cstheme="minorEastAsia"/>
                      <w:color w:val="000000"/>
                      <w:sz w:val="18"/>
                      <w:szCs w:val="18"/>
                    </w:rPr>
                  </w:pP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通识教育课程</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通识模块一</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近现代史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102985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中国近现代史纲要</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四史模块</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105248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中国共产党历史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105249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中华人民共和国史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105250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改革开放史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105254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社会主义发展史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color w:val="1F3D83"/>
                      <w:kern w:val="0"/>
                      <w:sz w:val="18"/>
                      <w:szCs w:val="18"/>
                      <w:lang w:bidi="ar"/>
                    </w:rPr>
                    <w:t>选修学分</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四门课任选一门</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通识模块二</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103638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马克思主义基本原理</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通识模块三</w:t>
                  </w: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体育模块I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体育模块II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体育模块III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体育模块IV</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健康教育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106001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卫生保健</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医疗健康服务中心</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通识模块四</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100693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数学分析I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105283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高等代数I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103243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高等代数II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105308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数学分析II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105309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数学分析III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通识模块五</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101156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形势与政策</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101938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思想道德与法治</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103486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军事理论</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保卫部</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1学分在线学习</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104792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毛泽东思想和中国特色社会主义理论体系概论</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104793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习近平新时代中国特色社会主义思想概论</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通识模块六</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105493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计算机编程（经济学）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信息管理与工程学院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101327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经济管理中的计算机应用</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信息管理与工程学院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2学分4课时</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通识模块七</w:t>
                  </w: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英语模块I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英语模块II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英语模块III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通识限定选修课</w:t>
                  </w: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通识模块一（经典阅读与历史文化传承）限选课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通识模块二（哲学思辨与伦理规范）限选课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通识模块三（艺术修养与运动健康）限选课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通识模块四（经济分析与数学思维）限选课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通识模块五（社会分析与公民素养）限选课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通识模块六（科技进步与科学精神）限选课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通识模块七（语言与跨文化沟通）限选课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从七个模块中选修四个模块</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通识选修课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66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13.5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5.5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学科共同课</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必修课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105239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习近平经济思想概论</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105477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经济法概论（必修）</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法学院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105512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财务会计（新商科）</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会计学院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100297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国际经济学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102041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财政学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公共经济与管理学院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102705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机器学习</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信息管理与工程学院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104152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经济学文献阅读与论文写作</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w:t>
                  </w:r>
                  <w:r>
                    <w:rPr>
                      <w:rFonts w:ascii="仿宋" w:hAnsi="仿宋" w:eastAsia="仿宋" w:cstheme="minorEastAsia"/>
                      <w:b/>
                      <w:bCs/>
                      <w:kern w:val="0"/>
                      <w:sz w:val="18"/>
                      <w:szCs w:val="18"/>
                      <w:lang w:bidi="ar"/>
                    </w:rPr>
                    <w:t>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选修课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101639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市场营销学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商学院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105352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货币银行学（选修）</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金融学院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100099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财务报表分析</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会计学院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100317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运筹学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101271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管理学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商学院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105286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大数据和经济学中的因果识别方法</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105353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金融机构与金融市场（选修）</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金融学院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105350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公司金融（选修）</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金融学院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105513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管理会计（新商科）</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会计学院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color w:val="1F3D83"/>
                      <w:kern w:val="0"/>
                      <w:sz w:val="18"/>
                      <w:szCs w:val="18"/>
                      <w:lang w:bidi="ar"/>
                    </w:rPr>
                    <w:t>选修学分</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含1学分暑期国际课</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仿宋" w:hAnsi="仿宋" w:eastAsia="仿宋" w:cstheme="minorEastAsia"/>
                      <w:b/>
                      <w:bCs/>
                      <w:kern w:val="0"/>
                      <w:sz w:val="18"/>
                      <w:szCs w:val="18"/>
                      <w:lang w:bidi="ar"/>
                    </w:rPr>
                    <w:t>25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专业课</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必修课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101300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政治经济学I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100094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政治经济学II</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101560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中级微观经济学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101632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概率论与数理统计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101562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中级宏观经济学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108402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计量经济学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101561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博弈论与信息经济学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选修课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100016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社会保障学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100056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发展经济学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100107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中国经济史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100648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逻辑学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100755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实验经济学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实验课</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100770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资源与环境经济学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101163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行为经济学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101280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外国经济思想史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101284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经济数据分析软件</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101595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金融衍生品理论与应用</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102927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金融计量学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105285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劳动经济学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100019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外国经济史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100075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经济学专题研究</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100083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中国经济思想史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100625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中国经济分析</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100628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《资本论》选读</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100752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微观计量经济学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100767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应用时间序列分析</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101202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高级微观经济学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101596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应用计量学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102901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大数据经济学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104161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健康经济学</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color w:val="1F3D83"/>
                      <w:kern w:val="0"/>
                      <w:sz w:val="18"/>
                      <w:szCs w:val="18"/>
                      <w:lang w:bidi="ar"/>
                    </w:rPr>
                    <w:t>选修学分</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个性化培养课程</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拔尖型</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必修课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102862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经济学原理、思想与方法</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100982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实变函数</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100666</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经济学学科前沿专题</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101199</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随机过程</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统计与管理学院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105302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r>
                    <w:rPr>
                      <w:rFonts w:hint="eastAsia" w:ascii="仿宋" w:hAnsi="仿宋" w:eastAsia="仿宋" w:cstheme="minorEastAsia"/>
                      <w:kern w:val="0"/>
                      <w:sz w:val="18"/>
                      <w:szCs w:val="18"/>
                      <w:lang w:bidi="ar"/>
                    </w:rPr>
                    <w:t>常微分方程</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12.5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选修课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12.5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卓越型</w:t>
                  </w: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选修课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创业型</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选修课</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0</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12.5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3</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3"/>
                  <w:vMerge w:val="restart"/>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第二课堂</w:t>
                  </w: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军训</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体育锻炼</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实践教育</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rPr>
                      <w:rFonts w:ascii="仿宋" w:hAnsi="仿宋" w:eastAsia="仿宋" w:cstheme="minorEastAsia"/>
                      <w:b/>
                      <w:bCs/>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5"/>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毕业论文</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5"/>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毕业实习</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b/>
                      <w:bCs/>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4</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5"/>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全程总计</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15</w:t>
                  </w:r>
                  <w:r>
                    <w:rPr>
                      <w:rFonts w:ascii="仿宋" w:hAnsi="仿宋" w:eastAsia="仿宋" w:cstheme="minorEastAsia"/>
                      <w:b/>
                      <w:bCs/>
                      <w:kern w:val="0"/>
                      <w:sz w:val="18"/>
                      <w:szCs w:val="18"/>
                      <w:lang w:bidi="ar"/>
                    </w:rPr>
                    <w:t>2</w:t>
                  </w:r>
                  <w:r>
                    <w:rPr>
                      <w:rFonts w:hint="eastAsia" w:ascii="仿宋" w:hAnsi="仿宋" w:eastAsia="仿宋" w:cstheme="minorEastAsia"/>
                      <w:b/>
                      <w:bCs/>
                      <w:kern w:val="0"/>
                      <w:sz w:val="18"/>
                      <w:szCs w:val="18"/>
                      <w:lang w:bidi="ar"/>
                    </w:rPr>
                    <w:t>.5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21</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2</w:t>
                  </w:r>
                  <w:r>
                    <w:rPr>
                      <w:rFonts w:ascii="仿宋" w:hAnsi="仿宋" w:eastAsia="仿宋" w:cstheme="minorEastAsia"/>
                      <w:b/>
                      <w:bCs/>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24.5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18.5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22</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15</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7</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b/>
                      <w:bCs/>
                      <w:sz w:val="18"/>
                      <w:szCs w:val="18"/>
                    </w:rPr>
                  </w:pPr>
                  <w:r>
                    <w:rPr>
                      <w:rFonts w:hint="eastAsia" w:ascii="仿宋" w:hAnsi="仿宋" w:eastAsia="仿宋" w:cstheme="minorEastAsia"/>
                      <w:b/>
                      <w:bCs/>
                      <w:kern w:val="0"/>
                      <w:sz w:val="18"/>
                      <w:szCs w:val="18"/>
                      <w:lang w:bidi="ar"/>
                    </w:rPr>
                    <w:t>8</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c>
                <w:tcPr>
                  <w:tcW w:w="0" w:type="auto"/>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4"/>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center"/>
                    <w:textAlignment w:val="center"/>
                    <w:rPr>
                      <w:rFonts w:ascii="仿宋" w:hAnsi="仿宋" w:eastAsia="仿宋" w:cstheme="minorEastAsia"/>
                      <w:sz w:val="18"/>
                      <w:szCs w:val="18"/>
                    </w:rPr>
                  </w:pPr>
                  <w:r>
                    <w:rPr>
                      <w:rFonts w:hint="eastAsia" w:ascii="仿宋" w:hAnsi="仿宋" w:eastAsia="仿宋" w:cstheme="minorEastAsia"/>
                      <w:kern w:val="0"/>
                      <w:sz w:val="18"/>
                      <w:szCs w:val="18"/>
                      <w:lang w:bidi="ar"/>
                    </w:rPr>
                    <w:t>备注</w:t>
                  </w:r>
                </w:p>
              </w:tc>
              <w:tc>
                <w:tcPr>
                  <w:tcW w:w="0" w:type="auto"/>
                  <w:gridSpan w:val="12"/>
                  <w:tcBorders>
                    <w:top w:val="single" w:color="006CB2" w:sz="4" w:space="0"/>
                    <w:left w:val="single" w:color="006CB2" w:sz="4" w:space="0"/>
                    <w:bottom w:val="single" w:color="006CB2" w:sz="4" w:space="0"/>
                    <w:right w:val="single" w:color="006CB2" w:sz="4" w:space="0"/>
                  </w:tcBorders>
                  <w:shd w:val="clear" w:color="auto" w:fill="auto"/>
                  <w:tcMar>
                    <w:top w:w="20" w:type="dxa"/>
                    <w:left w:w="0" w:type="dxa"/>
                    <w:bottom w:w="20" w:type="dxa"/>
                    <w:right w:w="0" w:type="dxa"/>
                  </w:tcMar>
                  <w:vAlign w:val="center"/>
                </w:tcPr>
                <w:p>
                  <w:pPr>
                    <w:widowControl/>
                    <w:jc w:val="left"/>
                    <w:textAlignment w:val="center"/>
                    <w:rPr>
                      <w:rFonts w:ascii="仿宋" w:hAnsi="仿宋" w:eastAsia="仿宋" w:cstheme="minorEastAsia"/>
                      <w:sz w:val="18"/>
                      <w:szCs w:val="18"/>
                    </w:rPr>
                  </w:pPr>
                  <w:r>
                    <w:rPr>
                      <w:rFonts w:ascii="Calibri" w:hAnsi="Calibri" w:eastAsia="仿宋" w:cs="Calibri"/>
                      <w:kern w:val="0"/>
                      <w:sz w:val="18"/>
                      <w:szCs w:val="18"/>
                      <w:lang w:bidi="ar"/>
                    </w:rPr>
                    <w:t> </w:t>
                  </w:r>
                </w:p>
              </w:tc>
            </w:tr>
          </w:tbl>
          <w:p>
            <w:pPr>
              <w:jc w:val="center"/>
              <w:rPr>
                <w:rFonts w:ascii="仿宋" w:hAnsi="仿宋" w:eastAsia="仿宋" w:cs="Verdana"/>
                <w:color w:val="000000"/>
                <w:sz w:val="12"/>
                <w:szCs w:val="12"/>
              </w:rPr>
            </w:pPr>
          </w:p>
        </w:tc>
      </w:tr>
    </w:tbl>
    <w:p>
      <w:pPr>
        <w:spacing w:line="360" w:lineRule="auto"/>
        <w:ind w:firstLine="482" w:firstLineChars="200"/>
        <w:rPr>
          <w:rFonts w:ascii="仿宋" w:hAnsi="仿宋" w:eastAsia="仿宋" w:cstheme="minorEastAsia"/>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wNzliYmJhNzQ2M2E0NGJlYjZkYjc0MWI5NDQwNmUifQ=="/>
  </w:docVars>
  <w:rsids>
    <w:rsidRoot w:val="00201807"/>
    <w:rsid w:val="00012919"/>
    <w:rsid w:val="00017F65"/>
    <w:rsid w:val="00030069"/>
    <w:rsid w:val="00052A94"/>
    <w:rsid w:val="000624F5"/>
    <w:rsid w:val="0007184C"/>
    <w:rsid w:val="00090E5A"/>
    <w:rsid w:val="000979DE"/>
    <w:rsid w:val="000A0C07"/>
    <w:rsid w:val="000C409A"/>
    <w:rsid w:val="000C73D2"/>
    <w:rsid w:val="000D29D6"/>
    <w:rsid w:val="000E0DE1"/>
    <w:rsid w:val="00113BF7"/>
    <w:rsid w:val="00114FC9"/>
    <w:rsid w:val="00143682"/>
    <w:rsid w:val="00146B6A"/>
    <w:rsid w:val="001758FC"/>
    <w:rsid w:val="001820EF"/>
    <w:rsid w:val="0018639D"/>
    <w:rsid w:val="00193A4E"/>
    <w:rsid w:val="00193DD7"/>
    <w:rsid w:val="0019421C"/>
    <w:rsid w:val="001953CC"/>
    <w:rsid w:val="00196065"/>
    <w:rsid w:val="00201807"/>
    <w:rsid w:val="0021307A"/>
    <w:rsid w:val="002156FF"/>
    <w:rsid w:val="00235DCB"/>
    <w:rsid w:val="00243DBB"/>
    <w:rsid w:val="00257231"/>
    <w:rsid w:val="00265693"/>
    <w:rsid w:val="002718D5"/>
    <w:rsid w:val="002B1239"/>
    <w:rsid w:val="002C13B8"/>
    <w:rsid w:val="002C3F4D"/>
    <w:rsid w:val="002D675D"/>
    <w:rsid w:val="002E37CC"/>
    <w:rsid w:val="002E7691"/>
    <w:rsid w:val="002F4EB7"/>
    <w:rsid w:val="00320369"/>
    <w:rsid w:val="0032336A"/>
    <w:rsid w:val="00325CFC"/>
    <w:rsid w:val="00335A58"/>
    <w:rsid w:val="003466FE"/>
    <w:rsid w:val="00352C41"/>
    <w:rsid w:val="003533DB"/>
    <w:rsid w:val="00364B9E"/>
    <w:rsid w:val="00380D9E"/>
    <w:rsid w:val="00394E75"/>
    <w:rsid w:val="003A4E38"/>
    <w:rsid w:val="003B0A54"/>
    <w:rsid w:val="003B145E"/>
    <w:rsid w:val="003E0A3A"/>
    <w:rsid w:val="004029D1"/>
    <w:rsid w:val="00405CC5"/>
    <w:rsid w:val="00417849"/>
    <w:rsid w:val="004214F4"/>
    <w:rsid w:val="00436700"/>
    <w:rsid w:val="00446CC7"/>
    <w:rsid w:val="00451C8E"/>
    <w:rsid w:val="0048241E"/>
    <w:rsid w:val="004854FF"/>
    <w:rsid w:val="00495154"/>
    <w:rsid w:val="004963B9"/>
    <w:rsid w:val="004A0960"/>
    <w:rsid w:val="004A52F3"/>
    <w:rsid w:val="004E37AC"/>
    <w:rsid w:val="005277E3"/>
    <w:rsid w:val="00530705"/>
    <w:rsid w:val="00551F2A"/>
    <w:rsid w:val="0055550C"/>
    <w:rsid w:val="005724EB"/>
    <w:rsid w:val="005902B7"/>
    <w:rsid w:val="005A0CAA"/>
    <w:rsid w:val="006202B0"/>
    <w:rsid w:val="006205C0"/>
    <w:rsid w:val="006235AF"/>
    <w:rsid w:val="00624829"/>
    <w:rsid w:val="006275FB"/>
    <w:rsid w:val="00683A67"/>
    <w:rsid w:val="006B4801"/>
    <w:rsid w:val="006C5308"/>
    <w:rsid w:val="006D6C7D"/>
    <w:rsid w:val="006D6ED5"/>
    <w:rsid w:val="006D7A17"/>
    <w:rsid w:val="0070083F"/>
    <w:rsid w:val="00706048"/>
    <w:rsid w:val="0077286A"/>
    <w:rsid w:val="007863D6"/>
    <w:rsid w:val="007A081E"/>
    <w:rsid w:val="007A22D2"/>
    <w:rsid w:val="007B0ED1"/>
    <w:rsid w:val="007B1C48"/>
    <w:rsid w:val="007B49E9"/>
    <w:rsid w:val="007B6471"/>
    <w:rsid w:val="007B73E8"/>
    <w:rsid w:val="007C6044"/>
    <w:rsid w:val="007D7998"/>
    <w:rsid w:val="007E4C7C"/>
    <w:rsid w:val="0081163F"/>
    <w:rsid w:val="00821A8D"/>
    <w:rsid w:val="00824234"/>
    <w:rsid w:val="008266E9"/>
    <w:rsid w:val="008566D1"/>
    <w:rsid w:val="00864416"/>
    <w:rsid w:val="00867056"/>
    <w:rsid w:val="00880F34"/>
    <w:rsid w:val="00883C90"/>
    <w:rsid w:val="008C1211"/>
    <w:rsid w:val="008E083C"/>
    <w:rsid w:val="008F20E2"/>
    <w:rsid w:val="00905A1B"/>
    <w:rsid w:val="00920C61"/>
    <w:rsid w:val="00922500"/>
    <w:rsid w:val="009414A5"/>
    <w:rsid w:val="00952E8F"/>
    <w:rsid w:val="009616B5"/>
    <w:rsid w:val="00977ED3"/>
    <w:rsid w:val="009825E9"/>
    <w:rsid w:val="00982CA8"/>
    <w:rsid w:val="00991414"/>
    <w:rsid w:val="009A2262"/>
    <w:rsid w:val="009A706C"/>
    <w:rsid w:val="009B631D"/>
    <w:rsid w:val="009B77B9"/>
    <w:rsid w:val="00A071D3"/>
    <w:rsid w:val="00A14467"/>
    <w:rsid w:val="00A20B92"/>
    <w:rsid w:val="00A622CF"/>
    <w:rsid w:val="00A636E0"/>
    <w:rsid w:val="00A660B9"/>
    <w:rsid w:val="00A720AE"/>
    <w:rsid w:val="00A75132"/>
    <w:rsid w:val="00A84308"/>
    <w:rsid w:val="00AA2F68"/>
    <w:rsid w:val="00AB6F67"/>
    <w:rsid w:val="00AC2BCD"/>
    <w:rsid w:val="00AD1E8F"/>
    <w:rsid w:val="00B13092"/>
    <w:rsid w:val="00B24D97"/>
    <w:rsid w:val="00B32305"/>
    <w:rsid w:val="00B34FEC"/>
    <w:rsid w:val="00B50E38"/>
    <w:rsid w:val="00B64470"/>
    <w:rsid w:val="00B7368C"/>
    <w:rsid w:val="00BC1A98"/>
    <w:rsid w:val="00BC538B"/>
    <w:rsid w:val="00BC6CDB"/>
    <w:rsid w:val="00BD1419"/>
    <w:rsid w:val="00BD34A8"/>
    <w:rsid w:val="00BE123C"/>
    <w:rsid w:val="00C15CF7"/>
    <w:rsid w:val="00C207E3"/>
    <w:rsid w:val="00C22264"/>
    <w:rsid w:val="00C2369C"/>
    <w:rsid w:val="00C34835"/>
    <w:rsid w:val="00C4087A"/>
    <w:rsid w:val="00C41867"/>
    <w:rsid w:val="00C617C1"/>
    <w:rsid w:val="00C63C0C"/>
    <w:rsid w:val="00C71AAC"/>
    <w:rsid w:val="00C77292"/>
    <w:rsid w:val="00C975AF"/>
    <w:rsid w:val="00CA4245"/>
    <w:rsid w:val="00CC7129"/>
    <w:rsid w:val="00CD769B"/>
    <w:rsid w:val="00CF3247"/>
    <w:rsid w:val="00D10808"/>
    <w:rsid w:val="00D347E4"/>
    <w:rsid w:val="00D34C8B"/>
    <w:rsid w:val="00D74A62"/>
    <w:rsid w:val="00D76846"/>
    <w:rsid w:val="00D97F93"/>
    <w:rsid w:val="00DA0A3D"/>
    <w:rsid w:val="00DC12FD"/>
    <w:rsid w:val="00E02D46"/>
    <w:rsid w:val="00E02F1B"/>
    <w:rsid w:val="00E20752"/>
    <w:rsid w:val="00E4218A"/>
    <w:rsid w:val="00E47267"/>
    <w:rsid w:val="00E533E7"/>
    <w:rsid w:val="00E80CB6"/>
    <w:rsid w:val="00E81159"/>
    <w:rsid w:val="00E8266F"/>
    <w:rsid w:val="00E93B20"/>
    <w:rsid w:val="00EB39FA"/>
    <w:rsid w:val="00EC1ACE"/>
    <w:rsid w:val="00EC4B4E"/>
    <w:rsid w:val="00EC6DA9"/>
    <w:rsid w:val="00ED01F7"/>
    <w:rsid w:val="00ED1CA1"/>
    <w:rsid w:val="00EE088D"/>
    <w:rsid w:val="00EE79DF"/>
    <w:rsid w:val="00F0236A"/>
    <w:rsid w:val="00F06867"/>
    <w:rsid w:val="00F120EA"/>
    <w:rsid w:val="00F13BEC"/>
    <w:rsid w:val="00F2146F"/>
    <w:rsid w:val="00F241CD"/>
    <w:rsid w:val="00F27E17"/>
    <w:rsid w:val="00F553AA"/>
    <w:rsid w:val="00F56FF2"/>
    <w:rsid w:val="00F57F1D"/>
    <w:rsid w:val="00F66369"/>
    <w:rsid w:val="00F7784C"/>
    <w:rsid w:val="00F830B2"/>
    <w:rsid w:val="00F858F6"/>
    <w:rsid w:val="00FA3A47"/>
    <w:rsid w:val="00FB4B30"/>
    <w:rsid w:val="00FC7682"/>
    <w:rsid w:val="00FD3FBB"/>
    <w:rsid w:val="00FE3040"/>
    <w:rsid w:val="01AE5862"/>
    <w:rsid w:val="022C77BC"/>
    <w:rsid w:val="02C5705E"/>
    <w:rsid w:val="03261322"/>
    <w:rsid w:val="03FE01D2"/>
    <w:rsid w:val="043D744D"/>
    <w:rsid w:val="04812040"/>
    <w:rsid w:val="04974D2C"/>
    <w:rsid w:val="04D916D2"/>
    <w:rsid w:val="05C4032B"/>
    <w:rsid w:val="060F3368"/>
    <w:rsid w:val="066524C9"/>
    <w:rsid w:val="06732907"/>
    <w:rsid w:val="068433C9"/>
    <w:rsid w:val="06EE0806"/>
    <w:rsid w:val="075B54F9"/>
    <w:rsid w:val="07886035"/>
    <w:rsid w:val="085214B8"/>
    <w:rsid w:val="08810BEA"/>
    <w:rsid w:val="08FF0A02"/>
    <w:rsid w:val="097B2A7C"/>
    <w:rsid w:val="0AC5176C"/>
    <w:rsid w:val="0ADB1E51"/>
    <w:rsid w:val="0B613456"/>
    <w:rsid w:val="0B723BED"/>
    <w:rsid w:val="0BAD2D12"/>
    <w:rsid w:val="0BEA7871"/>
    <w:rsid w:val="0CC2421A"/>
    <w:rsid w:val="0CDE6615"/>
    <w:rsid w:val="0D223C40"/>
    <w:rsid w:val="0E184941"/>
    <w:rsid w:val="0EE307E8"/>
    <w:rsid w:val="0EF93EC9"/>
    <w:rsid w:val="0F031F3D"/>
    <w:rsid w:val="0FB07CD0"/>
    <w:rsid w:val="10024930"/>
    <w:rsid w:val="10184D7B"/>
    <w:rsid w:val="1088517E"/>
    <w:rsid w:val="10984CA4"/>
    <w:rsid w:val="119C2380"/>
    <w:rsid w:val="12400167"/>
    <w:rsid w:val="127F6F30"/>
    <w:rsid w:val="129D556D"/>
    <w:rsid w:val="12E431EF"/>
    <w:rsid w:val="13A00B93"/>
    <w:rsid w:val="144B3EF2"/>
    <w:rsid w:val="14664D4D"/>
    <w:rsid w:val="14B251C7"/>
    <w:rsid w:val="154519D0"/>
    <w:rsid w:val="16025AFA"/>
    <w:rsid w:val="16470AF9"/>
    <w:rsid w:val="16640041"/>
    <w:rsid w:val="16795301"/>
    <w:rsid w:val="16B91CDE"/>
    <w:rsid w:val="175211A0"/>
    <w:rsid w:val="18674D33"/>
    <w:rsid w:val="186F4C1C"/>
    <w:rsid w:val="18842878"/>
    <w:rsid w:val="195E6972"/>
    <w:rsid w:val="19EB5ABF"/>
    <w:rsid w:val="1A2326EC"/>
    <w:rsid w:val="1A243418"/>
    <w:rsid w:val="1A425855"/>
    <w:rsid w:val="1AAB5DDF"/>
    <w:rsid w:val="1B920738"/>
    <w:rsid w:val="1B93437A"/>
    <w:rsid w:val="1BF66A74"/>
    <w:rsid w:val="1C142700"/>
    <w:rsid w:val="1D06599B"/>
    <w:rsid w:val="1D222302"/>
    <w:rsid w:val="1E065864"/>
    <w:rsid w:val="1E363BE9"/>
    <w:rsid w:val="1E797C85"/>
    <w:rsid w:val="1EE61371"/>
    <w:rsid w:val="1F284B13"/>
    <w:rsid w:val="1FFB0ADB"/>
    <w:rsid w:val="20535959"/>
    <w:rsid w:val="212901BD"/>
    <w:rsid w:val="214A0446"/>
    <w:rsid w:val="21510F45"/>
    <w:rsid w:val="217A773C"/>
    <w:rsid w:val="21CC4082"/>
    <w:rsid w:val="21F208AA"/>
    <w:rsid w:val="227010C0"/>
    <w:rsid w:val="229A422A"/>
    <w:rsid w:val="234D7619"/>
    <w:rsid w:val="237A07FB"/>
    <w:rsid w:val="23D376F6"/>
    <w:rsid w:val="244A659F"/>
    <w:rsid w:val="24875849"/>
    <w:rsid w:val="24BE20DE"/>
    <w:rsid w:val="25107342"/>
    <w:rsid w:val="255C578C"/>
    <w:rsid w:val="25BB5477"/>
    <w:rsid w:val="264024DA"/>
    <w:rsid w:val="26937FF4"/>
    <w:rsid w:val="269B1E4F"/>
    <w:rsid w:val="26CD3CB2"/>
    <w:rsid w:val="26E3339A"/>
    <w:rsid w:val="26EE546C"/>
    <w:rsid w:val="271654E9"/>
    <w:rsid w:val="27762C36"/>
    <w:rsid w:val="27D15A44"/>
    <w:rsid w:val="28326220"/>
    <w:rsid w:val="289A3CEE"/>
    <w:rsid w:val="297F15BA"/>
    <w:rsid w:val="29C452B9"/>
    <w:rsid w:val="29DC2804"/>
    <w:rsid w:val="29F94012"/>
    <w:rsid w:val="2A4F5E73"/>
    <w:rsid w:val="2A8444CC"/>
    <w:rsid w:val="2AED0D49"/>
    <w:rsid w:val="2BA765AA"/>
    <w:rsid w:val="2BDB4CFC"/>
    <w:rsid w:val="2C4126B8"/>
    <w:rsid w:val="2C5A71F5"/>
    <w:rsid w:val="2C715953"/>
    <w:rsid w:val="2D063A66"/>
    <w:rsid w:val="2D067F6B"/>
    <w:rsid w:val="2D9142FD"/>
    <w:rsid w:val="2DBC2F62"/>
    <w:rsid w:val="2E002916"/>
    <w:rsid w:val="2F2F1EF9"/>
    <w:rsid w:val="2F621249"/>
    <w:rsid w:val="2F7E727E"/>
    <w:rsid w:val="2F981693"/>
    <w:rsid w:val="2F9D5700"/>
    <w:rsid w:val="2FBB49D5"/>
    <w:rsid w:val="3037686F"/>
    <w:rsid w:val="304D7CAF"/>
    <w:rsid w:val="31153662"/>
    <w:rsid w:val="321C7FB8"/>
    <w:rsid w:val="340D077B"/>
    <w:rsid w:val="341E529B"/>
    <w:rsid w:val="348D099B"/>
    <w:rsid w:val="34FF4960"/>
    <w:rsid w:val="35107FD5"/>
    <w:rsid w:val="351806A4"/>
    <w:rsid w:val="35783CBD"/>
    <w:rsid w:val="35C02667"/>
    <w:rsid w:val="362A43BA"/>
    <w:rsid w:val="36B51250"/>
    <w:rsid w:val="37204DDC"/>
    <w:rsid w:val="37CA41D7"/>
    <w:rsid w:val="37EE3A29"/>
    <w:rsid w:val="38163FE6"/>
    <w:rsid w:val="38A92B54"/>
    <w:rsid w:val="390F2AC0"/>
    <w:rsid w:val="3963038D"/>
    <w:rsid w:val="39C00405"/>
    <w:rsid w:val="3A886315"/>
    <w:rsid w:val="3ABF6D92"/>
    <w:rsid w:val="3ACD6C84"/>
    <w:rsid w:val="3B863DF6"/>
    <w:rsid w:val="3B9C371C"/>
    <w:rsid w:val="3BC525EF"/>
    <w:rsid w:val="3CA153D1"/>
    <w:rsid w:val="3CAE5F4D"/>
    <w:rsid w:val="3D433C5B"/>
    <w:rsid w:val="3EA17BD6"/>
    <w:rsid w:val="3EAF0E90"/>
    <w:rsid w:val="3ECE110D"/>
    <w:rsid w:val="3F3A7943"/>
    <w:rsid w:val="3F641DC8"/>
    <w:rsid w:val="3FB72171"/>
    <w:rsid w:val="405E0278"/>
    <w:rsid w:val="40B96E67"/>
    <w:rsid w:val="413B2B6D"/>
    <w:rsid w:val="413B460E"/>
    <w:rsid w:val="41D260BE"/>
    <w:rsid w:val="4229150C"/>
    <w:rsid w:val="42477548"/>
    <w:rsid w:val="430453C1"/>
    <w:rsid w:val="43275BA0"/>
    <w:rsid w:val="433312B3"/>
    <w:rsid w:val="435B62BA"/>
    <w:rsid w:val="43634E85"/>
    <w:rsid w:val="44E95716"/>
    <w:rsid w:val="455D41FC"/>
    <w:rsid w:val="46F44893"/>
    <w:rsid w:val="47011312"/>
    <w:rsid w:val="47902A12"/>
    <w:rsid w:val="47B128A8"/>
    <w:rsid w:val="47EF1842"/>
    <w:rsid w:val="48E05033"/>
    <w:rsid w:val="49486AF1"/>
    <w:rsid w:val="49A40CAA"/>
    <w:rsid w:val="4AF26DEF"/>
    <w:rsid w:val="4B7E6822"/>
    <w:rsid w:val="4BB850F7"/>
    <w:rsid w:val="4BC13737"/>
    <w:rsid w:val="4BD07887"/>
    <w:rsid w:val="4CB35935"/>
    <w:rsid w:val="4D1B79B0"/>
    <w:rsid w:val="4D7304D6"/>
    <w:rsid w:val="4D9900D2"/>
    <w:rsid w:val="4DB5619E"/>
    <w:rsid w:val="4E711A82"/>
    <w:rsid w:val="4ED07A52"/>
    <w:rsid w:val="4EE14EA7"/>
    <w:rsid w:val="4EF0664B"/>
    <w:rsid w:val="4F0F0C01"/>
    <w:rsid w:val="4F3D4D3B"/>
    <w:rsid w:val="4FA3785F"/>
    <w:rsid w:val="50502A7F"/>
    <w:rsid w:val="505D0ECC"/>
    <w:rsid w:val="512039E6"/>
    <w:rsid w:val="51AD395C"/>
    <w:rsid w:val="5225202B"/>
    <w:rsid w:val="523F7988"/>
    <w:rsid w:val="52DF208B"/>
    <w:rsid w:val="53911996"/>
    <w:rsid w:val="53B232C8"/>
    <w:rsid w:val="544A0536"/>
    <w:rsid w:val="552F3B03"/>
    <w:rsid w:val="558F0863"/>
    <w:rsid w:val="559F0D19"/>
    <w:rsid w:val="56F71028"/>
    <w:rsid w:val="57013F2D"/>
    <w:rsid w:val="5734179E"/>
    <w:rsid w:val="573E04C7"/>
    <w:rsid w:val="575F54A3"/>
    <w:rsid w:val="577F0B74"/>
    <w:rsid w:val="57E778A0"/>
    <w:rsid w:val="58B47155"/>
    <w:rsid w:val="58FA4BB4"/>
    <w:rsid w:val="58FB34F2"/>
    <w:rsid w:val="5948351E"/>
    <w:rsid w:val="598172FE"/>
    <w:rsid w:val="59CF0866"/>
    <w:rsid w:val="5A73135A"/>
    <w:rsid w:val="5B3230C1"/>
    <w:rsid w:val="5B5D5918"/>
    <w:rsid w:val="5BD8261A"/>
    <w:rsid w:val="5CC25603"/>
    <w:rsid w:val="5D6B261D"/>
    <w:rsid w:val="5D7478E1"/>
    <w:rsid w:val="5DA2207D"/>
    <w:rsid w:val="5DB56813"/>
    <w:rsid w:val="5DB71960"/>
    <w:rsid w:val="5EAA27D0"/>
    <w:rsid w:val="5EDC3F2D"/>
    <w:rsid w:val="5F2350E3"/>
    <w:rsid w:val="5FCF3336"/>
    <w:rsid w:val="5FD32E31"/>
    <w:rsid w:val="60557A7F"/>
    <w:rsid w:val="607D0F19"/>
    <w:rsid w:val="609520E8"/>
    <w:rsid w:val="60B922DF"/>
    <w:rsid w:val="616648B5"/>
    <w:rsid w:val="620B17FF"/>
    <w:rsid w:val="62101D10"/>
    <w:rsid w:val="621353BE"/>
    <w:rsid w:val="622B41B4"/>
    <w:rsid w:val="6241457E"/>
    <w:rsid w:val="62B93DB4"/>
    <w:rsid w:val="631A6ABE"/>
    <w:rsid w:val="63283E51"/>
    <w:rsid w:val="638C3863"/>
    <w:rsid w:val="63A37F55"/>
    <w:rsid w:val="63F838BA"/>
    <w:rsid w:val="63FE4291"/>
    <w:rsid w:val="64215A70"/>
    <w:rsid w:val="648860C8"/>
    <w:rsid w:val="650A2970"/>
    <w:rsid w:val="65710477"/>
    <w:rsid w:val="658C4079"/>
    <w:rsid w:val="669D32FA"/>
    <w:rsid w:val="66AA41F8"/>
    <w:rsid w:val="66D27C00"/>
    <w:rsid w:val="67073F35"/>
    <w:rsid w:val="672D7B8A"/>
    <w:rsid w:val="675850E3"/>
    <w:rsid w:val="67CE0A85"/>
    <w:rsid w:val="68C138BD"/>
    <w:rsid w:val="68F72B25"/>
    <w:rsid w:val="69073687"/>
    <w:rsid w:val="69485240"/>
    <w:rsid w:val="696B63D3"/>
    <w:rsid w:val="6ACA40EA"/>
    <w:rsid w:val="6BA076B2"/>
    <w:rsid w:val="6BBA5D00"/>
    <w:rsid w:val="6C964C19"/>
    <w:rsid w:val="6CB62C03"/>
    <w:rsid w:val="6D7E5F67"/>
    <w:rsid w:val="6DCA16FA"/>
    <w:rsid w:val="6DEF2B95"/>
    <w:rsid w:val="6EE0267A"/>
    <w:rsid w:val="6F570DF8"/>
    <w:rsid w:val="6F89494E"/>
    <w:rsid w:val="6FA24B39"/>
    <w:rsid w:val="709A5CE0"/>
    <w:rsid w:val="70A04894"/>
    <w:rsid w:val="70C05B6F"/>
    <w:rsid w:val="714A597A"/>
    <w:rsid w:val="71AD64B5"/>
    <w:rsid w:val="72840B6F"/>
    <w:rsid w:val="728563B6"/>
    <w:rsid w:val="72AC1FE1"/>
    <w:rsid w:val="736B6E24"/>
    <w:rsid w:val="73B85B5C"/>
    <w:rsid w:val="74857442"/>
    <w:rsid w:val="74BB1DB9"/>
    <w:rsid w:val="75016FB8"/>
    <w:rsid w:val="756B3CBC"/>
    <w:rsid w:val="757275B3"/>
    <w:rsid w:val="758275CC"/>
    <w:rsid w:val="75C1613A"/>
    <w:rsid w:val="766976F2"/>
    <w:rsid w:val="76713EB7"/>
    <w:rsid w:val="78146DC4"/>
    <w:rsid w:val="782802A3"/>
    <w:rsid w:val="78550EA9"/>
    <w:rsid w:val="78B7758A"/>
    <w:rsid w:val="792D34F3"/>
    <w:rsid w:val="793E7547"/>
    <w:rsid w:val="794E57F6"/>
    <w:rsid w:val="796322F1"/>
    <w:rsid w:val="79914CB3"/>
    <w:rsid w:val="7A82778B"/>
    <w:rsid w:val="7A984139"/>
    <w:rsid w:val="7AB90C30"/>
    <w:rsid w:val="7B065D94"/>
    <w:rsid w:val="7BBA6A46"/>
    <w:rsid w:val="7C0B65BD"/>
    <w:rsid w:val="7D50422A"/>
    <w:rsid w:val="7E0257FD"/>
    <w:rsid w:val="7E23695E"/>
    <w:rsid w:val="7E450419"/>
    <w:rsid w:val="7EC52F29"/>
    <w:rsid w:val="7ED0323E"/>
    <w:rsid w:val="7F4B5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仿宋_GB2312"/>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alloon Text"/>
    <w:basedOn w:val="1"/>
    <w:qFormat/>
    <w:uiPriority w:val="0"/>
    <w:rPr>
      <w:sz w:val="18"/>
    </w:rPr>
  </w:style>
  <w:style w:type="paragraph" w:styleId="6">
    <w:name w:val="footer"/>
    <w:basedOn w:val="1"/>
    <w:link w:val="25"/>
    <w:qFormat/>
    <w:uiPriority w:val="0"/>
    <w:pPr>
      <w:tabs>
        <w:tab w:val="center" w:pos="4153"/>
        <w:tab w:val="right" w:pos="8306"/>
      </w:tabs>
      <w:snapToGrid w:val="0"/>
      <w:jc w:val="left"/>
    </w:pPr>
    <w:rPr>
      <w:sz w:val="18"/>
    </w:rPr>
  </w:style>
  <w:style w:type="paragraph" w:styleId="7">
    <w:name w:val="header"/>
    <w:basedOn w:val="1"/>
    <w:link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1"/>
    <w:qFormat/>
    <w:uiPriority w:val="0"/>
    <w:rPr>
      <w:b/>
      <w:bCs/>
    </w:rPr>
  </w:style>
  <w:style w:type="character" w:styleId="13">
    <w:name w:val="annotation reference"/>
    <w:basedOn w:val="12"/>
    <w:qFormat/>
    <w:uiPriority w:val="0"/>
    <w:rPr>
      <w:sz w:val="21"/>
      <w:szCs w:val="21"/>
    </w:rPr>
  </w:style>
  <w:style w:type="character" w:styleId="14">
    <w:name w:val="footnote reference"/>
    <w:basedOn w:val="12"/>
    <w:qFormat/>
    <w:uiPriority w:val="0"/>
    <w:rPr>
      <w:vertAlign w:val="superscript"/>
    </w:rPr>
  </w:style>
  <w:style w:type="paragraph" w:styleId="15">
    <w:name w:val="List Paragraph"/>
    <w:basedOn w:val="1"/>
    <w:qFormat/>
    <w:uiPriority w:val="34"/>
    <w:pPr>
      <w:ind w:firstLine="420" w:firstLineChars="200"/>
    </w:pPr>
  </w:style>
  <w:style w:type="character" w:customStyle="1" w:styleId="16">
    <w:name w:val="font11"/>
    <w:basedOn w:val="12"/>
    <w:qFormat/>
    <w:uiPriority w:val="0"/>
    <w:rPr>
      <w:rFonts w:hint="default" w:ascii="Times New Roman" w:hAnsi="Times New Roman" w:cs="Times New Roman"/>
      <w:b/>
      <w:color w:val="000000"/>
      <w:sz w:val="18"/>
      <w:szCs w:val="18"/>
      <w:u w:val="none"/>
    </w:rPr>
  </w:style>
  <w:style w:type="character" w:customStyle="1" w:styleId="17">
    <w:name w:val="font01"/>
    <w:basedOn w:val="12"/>
    <w:qFormat/>
    <w:uiPriority w:val="0"/>
    <w:rPr>
      <w:rFonts w:hint="eastAsia" w:ascii="宋体" w:hAnsi="宋体" w:eastAsia="宋体" w:cs="宋体"/>
      <w:b/>
      <w:color w:val="000000"/>
      <w:sz w:val="18"/>
      <w:szCs w:val="18"/>
      <w:u w:val="none"/>
    </w:rPr>
  </w:style>
  <w:style w:type="character" w:customStyle="1" w:styleId="18">
    <w:name w:val="font71"/>
    <w:basedOn w:val="12"/>
    <w:qFormat/>
    <w:uiPriority w:val="0"/>
    <w:rPr>
      <w:rFonts w:hint="eastAsia" w:ascii="宋体" w:hAnsi="宋体" w:eastAsia="宋体" w:cs="宋体"/>
      <w:color w:val="000000"/>
      <w:sz w:val="18"/>
      <w:szCs w:val="18"/>
      <w:u w:val="none"/>
    </w:rPr>
  </w:style>
  <w:style w:type="character" w:customStyle="1" w:styleId="19">
    <w:name w:val="font21"/>
    <w:basedOn w:val="12"/>
    <w:qFormat/>
    <w:uiPriority w:val="0"/>
    <w:rPr>
      <w:rFonts w:hint="default" w:ascii="Times New Roman" w:hAnsi="Times New Roman" w:cs="Times New Roman"/>
      <w:color w:val="000000"/>
      <w:sz w:val="18"/>
      <w:szCs w:val="18"/>
      <w:u w:val="none"/>
    </w:rPr>
  </w:style>
  <w:style w:type="character" w:customStyle="1" w:styleId="20">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qFormat/>
    <w:uiPriority w:val="0"/>
    <w:rPr>
      <w:rFonts w:asciiTheme="minorHAnsi" w:hAnsiTheme="minorHAnsi" w:eastAsiaTheme="minorEastAsia" w:cstheme="minorBidi"/>
      <w:b/>
      <w:bCs/>
      <w:kern w:val="2"/>
      <w:sz w:val="21"/>
      <w:szCs w:val="24"/>
    </w:rPr>
  </w:style>
  <w:style w:type="character" w:customStyle="1" w:styleId="22">
    <w:name w:val="font31"/>
    <w:basedOn w:val="12"/>
    <w:qFormat/>
    <w:uiPriority w:val="0"/>
    <w:rPr>
      <w:rFonts w:hint="default" w:ascii="Times New Roman" w:hAnsi="Times New Roman" w:cs="Times New Roman"/>
      <w:color w:val="000000"/>
      <w:sz w:val="18"/>
      <w:szCs w:val="18"/>
      <w:u w:val="none"/>
    </w:rPr>
  </w:style>
  <w:style w:type="character" w:customStyle="1" w:styleId="23">
    <w:name w:val="font41"/>
    <w:basedOn w:val="12"/>
    <w:qFormat/>
    <w:uiPriority w:val="0"/>
    <w:rPr>
      <w:rFonts w:hint="default" w:ascii="Calibri" w:hAnsi="Calibri" w:cs="Calibri"/>
      <w:color w:val="000000"/>
      <w:sz w:val="18"/>
      <w:szCs w:val="18"/>
      <w:u w:val="none"/>
    </w:rPr>
  </w:style>
  <w:style w:type="character" w:customStyle="1" w:styleId="24">
    <w:name w:val="页眉 字符"/>
    <w:basedOn w:val="12"/>
    <w:link w:val="7"/>
    <w:qFormat/>
    <w:uiPriority w:val="0"/>
    <w:rPr>
      <w:rFonts w:asciiTheme="minorHAnsi" w:hAnsiTheme="minorHAnsi" w:eastAsiaTheme="minorEastAsia" w:cstheme="minorBidi"/>
      <w:kern w:val="2"/>
      <w:sz w:val="18"/>
      <w:szCs w:val="24"/>
    </w:rPr>
  </w:style>
  <w:style w:type="character" w:customStyle="1" w:styleId="25">
    <w:name w:val="页脚 字符"/>
    <w:basedOn w:val="12"/>
    <w:link w:val="6"/>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1002</Words>
  <Characters>5716</Characters>
  <Lines>47</Lines>
  <Paragraphs>13</Paragraphs>
  <TotalTime>14</TotalTime>
  <ScaleCrop>false</ScaleCrop>
  <LinksUpToDate>false</LinksUpToDate>
  <CharactersWithSpaces>6705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2023-08-09T15:40:00Z</dcterms:created>
  <dc:creator>Administrator</dc:creator>
  <cp:lastModifiedBy>鱼尾姐姐</cp:lastModifiedBy>
  <cp:lastPrinted>2021-04-07T08:49:00Z</cp:lastPrinted>
  <dcterms:modified xsi:type="dcterms:W3CDTF">2023-11-14T08:52:25Z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394297F1BDA6413BB84C3D087300947E_13</vt:lpwstr>
  </property>
</Properties>
</file>